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ascii="黑体" w:eastAsia="黑体" w:cs="Tahoma"/>
          <w:color w:val="333333"/>
          <w:sz w:val="44"/>
          <w:szCs w:val="44"/>
        </w:rPr>
      </w:pPr>
      <w:r>
        <w:rPr>
          <w:rFonts w:ascii="黑体" w:eastAsia="黑体" w:cs="Tahoma" w:hint="eastAsia"/>
          <w:color w:val="333333"/>
          <w:sz w:val="44"/>
          <w:szCs w:val="44"/>
        </w:rPr>
        <w:t>新乡医学院成人高等教育</w:t>
      </w: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ascii="黑体" w:eastAsia="黑体" w:cs="Tahoma"/>
          <w:color w:val="333333"/>
          <w:sz w:val="44"/>
          <w:szCs w:val="44"/>
        </w:rPr>
      </w:pPr>
      <w:r>
        <w:rPr>
          <w:rFonts w:ascii="黑体" w:eastAsia="黑体" w:cs="Tahoma" w:hint="eastAsia"/>
          <w:color w:val="333333"/>
          <w:sz w:val="44"/>
          <w:szCs w:val="44"/>
        </w:rPr>
        <w:t>三年制专升本生物</w:t>
      </w:r>
      <w:r>
        <w:rPr>
          <w:rFonts w:ascii="黑体" w:eastAsia="黑体" w:cs="Tahoma" w:hint="eastAsia"/>
          <w:color w:val="333333"/>
          <w:sz w:val="44"/>
          <w:szCs w:val="44"/>
        </w:rPr>
        <w:t>技术</w:t>
      </w:r>
      <w:r>
        <w:rPr>
          <w:rFonts w:ascii="黑体" w:eastAsia="黑体" w:cs="Tahoma" w:hint="eastAsia"/>
          <w:color w:val="333333"/>
          <w:sz w:val="44"/>
          <w:szCs w:val="44"/>
        </w:rPr>
        <w:t>专业</w:t>
      </w: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cs="Tahoma"/>
          <w:color w:val="333333"/>
          <w:sz w:val="44"/>
          <w:szCs w:val="44"/>
        </w:rPr>
      </w:pP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ascii="华文新魏" w:eastAsia="华文新魏" w:cs="Tahoma"/>
          <w:color w:val="333333"/>
          <w:sz w:val="84"/>
          <w:szCs w:val="84"/>
        </w:rPr>
      </w:pPr>
      <w:r>
        <w:rPr>
          <w:rFonts w:ascii="华文新魏" w:eastAsia="华文新魏" w:cs="Tahoma" w:hint="eastAsia"/>
          <w:color w:val="333333"/>
          <w:sz w:val="84"/>
          <w:szCs w:val="84"/>
        </w:rPr>
        <w:t>综</w:t>
      </w: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ascii="华文新魏" w:eastAsia="华文新魏" w:cs="Tahoma"/>
          <w:color w:val="333333"/>
          <w:sz w:val="84"/>
          <w:szCs w:val="84"/>
        </w:rPr>
      </w:pPr>
      <w:r>
        <w:rPr>
          <w:rFonts w:ascii="华文新魏" w:eastAsia="华文新魏" w:cs="Tahoma" w:hint="eastAsia"/>
          <w:color w:val="333333"/>
          <w:sz w:val="84"/>
          <w:szCs w:val="84"/>
        </w:rPr>
        <w:t>合</w:t>
      </w: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ascii="华文新魏" w:eastAsia="华文新魏" w:cs="Tahoma"/>
          <w:color w:val="333333"/>
          <w:sz w:val="84"/>
          <w:szCs w:val="84"/>
        </w:rPr>
      </w:pPr>
      <w:r>
        <w:rPr>
          <w:rFonts w:ascii="华文新魏" w:eastAsia="华文新魏" w:cs="Tahoma" w:hint="eastAsia"/>
          <w:color w:val="333333"/>
          <w:sz w:val="84"/>
          <w:szCs w:val="84"/>
        </w:rPr>
        <w:t>作</w:t>
      </w: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ascii="华文新魏" w:eastAsia="华文新魏" w:cs="Tahoma"/>
          <w:color w:val="333333"/>
          <w:sz w:val="84"/>
          <w:szCs w:val="84"/>
        </w:rPr>
      </w:pPr>
      <w:r>
        <w:rPr>
          <w:rFonts w:ascii="华文新魏" w:eastAsia="华文新魏" w:cs="Tahoma" w:hint="eastAsia"/>
          <w:color w:val="333333"/>
          <w:sz w:val="84"/>
          <w:szCs w:val="84"/>
        </w:rPr>
        <w:t>业</w:t>
      </w: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cs="Tahoma"/>
          <w:color w:val="333333"/>
          <w:sz w:val="44"/>
          <w:szCs w:val="44"/>
        </w:rPr>
      </w:pP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cs="Tahoma"/>
          <w:color w:val="333333"/>
          <w:sz w:val="44"/>
          <w:szCs w:val="44"/>
        </w:rPr>
      </w:pP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ascii="仿宋_GB2312" w:eastAsia="仿宋_GB2312" w:cs="Tahoma"/>
          <w:color w:val="333333"/>
          <w:sz w:val="36"/>
          <w:szCs w:val="36"/>
          <w:u w:val="single"/>
        </w:rPr>
      </w:pPr>
      <w:r>
        <w:rPr>
          <w:rFonts w:ascii="仿宋_GB2312" w:eastAsia="仿宋_GB2312" w:cs="Tahoma" w:hint="eastAsia"/>
          <w:color w:val="333333"/>
          <w:sz w:val="36"/>
          <w:szCs w:val="36"/>
        </w:rPr>
        <w:t>姓名：</w:t>
      </w:r>
      <w:r>
        <w:rPr>
          <w:rFonts w:ascii="仿宋_GB2312" w:eastAsia="仿宋_GB2312" w:cs="Tahoma" w:hint="eastAsia"/>
          <w:color w:val="333333"/>
          <w:sz w:val="36"/>
          <w:szCs w:val="36"/>
          <w:u w:val="single"/>
        </w:rPr>
        <w:t xml:space="preserve">             </w:t>
      </w:r>
    </w:p>
    <w:p w:rsidR="00DE6CFC" w:rsidRDefault="00DE6CFC" w:rsidP="00DE6CFC">
      <w:pPr>
        <w:pStyle w:val="NormalWeb"/>
        <w:wordWrap w:val="0"/>
        <w:spacing w:line="330" w:lineRule="atLeast"/>
        <w:jc w:val="center"/>
        <w:rPr>
          <w:rFonts w:ascii="仿宋_GB2312" w:eastAsia="仿宋_GB2312" w:cs="Tahoma"/>
          <w:color w:val="333333"/>
          <w:sz w:val="36"/>
          <w:szCs w:val="36"/>
          <w:u w:val="single"/>
        </w:rPr>
      </w:pPr>
      <w:r>
        <w:rPr>
          <w:rFonts w:ascii="仿宋_GB2312" w:eastAsia="仿宋_GB2312" w:cs="Tahoma" w:hint="eastAsia"/>
          <w:color w:val="333333"/>
          <w:sz w:val="36"/>
          <w:szCs w:val="36"/>
        </w:rPr>
        <w:t>学号：</w:t>
      </w:r>
      <w:r>
        <w:rPr>
          <w:rFonts w:ascii="仿宋_GB2312" w:eastAsia="仿宋_GB2312" w:cs="Tahoma" w:hint="eastAsia"/>
          <w:color w:val="333333"/>
          <w:sz w:val="36"/>
          <w:szCs w:val="36"/>
          <w:u w:val="single"/>
        </w:rPr>
        <w:t xml:space="preserve">             </w:t>
      </w:r>
    </w:p>
    <w:p w:rsidR="00DE6CFC" w:rsidRDefault="00DE6CFC">
      <w:pPr>
        <w:widowControl/>
        <w:jc w:val="left"/>
      </w:pPr>
      <w:r>
        <w:br w:type="page"/>
      </w:r>
    </w:p>
    <w:p w:rsidR="00DE6CFC" w:rsidRPr="00DE6CFC" w:rsidRDefault="00DE6CFC">
      <w:pPr>
        <w:rPr>
          <w:rFonts w:hint="eastAsia"/>
          <w:sz w:val="28"/>
          <w:szCs w:val="28"/>
        </w:rPr>
      </w:pPr>
      <w:r w:rsidRPr="00DE6CFC">
        <w:rPr>
          <w:rFonts w:hint="eastAsia"/>
          <w:sz w:val="28"/>
          <w:szCs w:val="28"/>
        </w:rPr>
        <w:lastRenderedPageBreak/>
        <w:t>1</w:t>
      </w:r>
      <w:r w:rsidRPr="00DE6CFC">
        <w:rPr>
          <w:rFonts w:hint="eastAsia"/>
          <w:sz w:val="28"/>
          <w:szCs w:val="28"/>
        </w:rPr>
        <w:t>、薄层分析的优点和缺点？</w:t>
      </w:r>
      <w:r w:rsidRPr="00DE6CFC">
        <w:rPr>
          <w:rFonts w:hint="eastAsia"/>
          <w:sz w:val="28"/>
          <w:szCs w:val="28"/>
        </w:rPr>
        <w:t xml:space="preserve"> </w:t>
      </w: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P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  <w:r w:rsidRPr="00DE6CFC">
        <w:rPr>
          <w:rFonts w:hint="eastAsia"/>
          <w:sz w:val="28"/>
          <w:szCs w:val="28"/>
        </w:rPr>
        <w:t>2</w:t>
      </w:r>
      <w:r w:rsidRPr="00DE6CFC">
        <w:rPr>
          <w:rFonts w:hint="eastAsia"/>
          <w:sz w:val="28"/>
          <w:szCs w:val="28"/>
        </w:rPr>
        <w:t>、微生物保藏方式？</w:t>
      </w:r>
      <w:r w:rsidRPr="00DE6CFC">
        <w:rPr>
          <w:rFonts w:hint="eastAsia"/>
          <w:sz w:val="28"/>
          <w:szCs w:val="28"/>
        </w:rPr>
        <w:t xml:space="preserve">  </w:t>
      </w: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  <w:r w:rsidRPr="00DE6CFC">
        <w:rPr>
          <w:rFonts w:hint="eastAsia"/>
          <w:sz w:val="28"/>
          <w:szCs w:val="28"/>
        </w:rPr>
        <w:lastRenderedPageBreak/>
        <w:t>3</w:t>
      </w:r>
      <w:r w:rsidRPr="00DE6CFC">
        <w:rPr>
          <w:rFonts w:hint="eastAsia"/>
          <w:sz w:val="28"/>
          <w:szCs w:val="28"/>
        </w:rPr>
        <w:t>、蛋白质的磷酸化与去磷酸化？</w:t>
      </w:r>
      <w:r w:rsidRPr="00DE6CFC">
        <w:rPr>
          <w:rFonts w:hint="eastAsia"/>
          <w:sz w:val="28"/>
          <w:szCs w:val="28"/>
        </w:rPr>
        <w:t xml:space="preserve"> </w:t>
      </w: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  <w:r w:rsidRPr="00DE6CFC">
        <w:rPr>
          <w:rFonts w:hint="eastAsia"/>
          <w:sz w:val="28"/>
          <w:szCs w:val="28"/>
        </w:rPr>
        <w:t>4</w:t>
      </w:r>
      <w:r w:rsidRPr="00DE6CFC">
        <w:rPr>
          <w:rFonts w:hint="eastAsia"/>
          <w:sz w:val="28"/>
          <w:szCs w:val="28"/>
        </w:rPr>
        <w:t>、酶标仪的原理和使用方法？</w:t>
      </w:r>
      <w:r w:rsidRPr="00DE6CFC">
        <w:rPr>
          <w:rFonts w:hint="eastAsia"/>
          <w:sz w:val="28"/>
          <w:szCs w:val="28"/>
        </w:rPr>
        <w:t xml:space="preserve"> </w:t>
      </w: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8D5C76" w:rsidRDefault="00DE6CFC">
      <w:pPr>
        <w:rPr>
          <w:rFonts w:hint="eastAsia"/>
          <w:sz w:val="28"/>
          <w:szCs w:val="28"/>
        </w:rPr>
      </w:pPr>
      <w:r w:rsidRPr="00DE6CFC">
        <w:rPr>
          <w:rFonts w:hint="eastAsia"/>
          <w:sz w:val="28"/>
          <w:szCs w:val="28"/>
        </w:rPr>
        <w:lastRenderedPageBreak/>
        <w:t>5</w:t>
      </w:r>
      <w:r w:rsidRPr="00DE6CFC">
        <w:rPr>
          <w:rFonts w:hint="eastAsia"/>
          <w:sz w:val="28"/>
          <w:szCs w:val="28"/>
        </w:rPr>
        <w:t>、</w:t>
      </w:r>
      <w:r w:rsidRPr="00DE6CFC">
        <w:rPr>
          <w:rFonts w:hint="eastAsia"/>
          <w:sz w:val="28"/>
          <w:szCs w:val="28"/>
        </w:rPr>
        <w:t>Northern</w:t>
      </w:r>
      <w:r w:rsidRPr="00DE6CFC">
        <w:rPr>
          <w:rFonts w:hint="eastAsia"/>
          <w:sz w:val="28"/>
          <w:szCs w:val="28"/>
        </w:rPr>
        <w:t>的原理和主要事项？</w:t>
      </w: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DE6CFC" w:rsidRDefault="00DE6CFC">
      <w:pPr>
        <w:rPr>
          <w:rFonts w:hint="eastAsia"/>
          <w:sz w:val="28"/>
          <w:szCs w:val="28"/>
        </w:rPr>
      </w:pPr>
    </w:p>
    <w:p w:rsidR="004E1341" w:rsidRDefault="00DE6C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4E1341" w:rsidRPr="004E1341">
        <w:rPr>
          <w:rFonts w:hint="eastAsia"/>
          <w:sz w:val="28"/>
          <w:szCs w:val="28"/>
        </w:rPr>
        <w:t>试解释说明药物—受体相互作用的化学本质</w:t>
      </w:r>
    </w:p>
    <w:p w:rsidR="004E1341" w:rsidRDefault="004E134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6CFC" w:rsidRDefault="004E13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</w:t>
      </w:r>
      <w:r>
        <w:rPr>
          <w:rFonts w:hint="eastAsia"/>
          <w:sz w:val="28"/>
          <w:szCs w:val="28"/>
        </w:rPr>
        <w:t>、试述</w:t>
      </w:r>
      <w:r w:rsidRPr="004E1341">
        <w:rPr>
          <w:rFonts w:hint="eastAsia"/>
          <w:sz w:val="28"/>
          <w:szCs w:val="28"/>
        </w:rPr>
        <w:t>胃酸分泌的原理</w:t>
      </w: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Default="004E1341">
      <w:pPr>
        <w:rPr>
          <w:rFonts w:hint="eastAsia"/>
          <w:sz w:val="28"/>
          <w:szCs w:val="28"/>
        </w:rPr>
      </w:pPr>
    </w:p>
    <w:p w:rsidR="004E1341" w:rsidRPr="00DE6CFC" w:rsidRDefault="004E13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9E0A06">
        <w:rPr>
          <w:rFonts w:hint="eastAsia"/>
          <w:sz w:val="28"/>
          <w:szCs w:val="28"/>
        </w:rPr>
        <w:t>试述</w:t>
      </w:r>
      <w:bookmarkStart w:id="0" w:name="_GoBack"/>
      <w:bookmarkEnd w:id="0"/>
      <w:r w:rsidR="009E0A06" w:rsidRPr="009E0A06">
        <w:rPr>
          <w:rFonts w:hint="eastAsia"/>
          <w:sz w:val="28"/>
          <w:szCs w:val="28"/>
        </w:rPr>
        <w:t>转基因植物的安全性评价</w:t>
      </w:r>
    </w:p>
    <w:sectPr w:rsidR="004E1341" w:rsidRPr="00DE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FC"/>
    <w:rsid w:val="004E1341"/>
    <w:rsid w:val="008D5C76"/>
    <w:rsid w:val="009E0A06"/>
    <w:rsid w:val="00D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DE6C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DE6C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XYCJ-K</dc:creator>
  <cp:lastModifiedBy>XYCJ-K</cp:lastModifiedBy>
  <cp:revision>3</cp:revision>
  <dcterms:created xsi:type="dcterms:W3CDTF">2014-06-24T03:36:00Z</dcterms:created>
  <dcterms:modified xsi:type="dcterms:W3CDTF">2014-06-24T03:41:00Z</dcterms:modified>
</cp:coreProperties>
</file>