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Times New Roman" w:eastAsia="黑体"/>
        </w:rPr>
      </w:pPr>
      <w:r>
        <w:rPr>
          <w:rFonts w:hint="eastAsia" w:ascii="黑体" w:hAnsi="Times New Roman" w:eastAsia="黑体"/>
        </w:rPr>
        <w:t>附件1</w:t>
      </w:r>
    </w:p>
    <w:p>
      <w:pPr>
        <w:widowControl/>
        <w:spacing w:line="560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widowControl/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高等学校科技成果转化和技术转移基地</w:t>
      </w:r>
    </w:p>
    <w:p>
      <w:pPr>
        <w:widowControl/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认定工作指导标准</w:t>
      </w:r>
    </w:p>
    <w:p>
      <w:pPr>
        <w:widowControl/>
        <w:spacing w:line="56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</w:p>
    <w:tbl>
      <w:tblPr>
        <w:tblStyle w:val="3"/>
        <w:tblW w:w="9300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939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一级指标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二级指标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顶层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设计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1．</w:t>
            </w:r>
            <w:r>
              <w:rPr>
                <w:rFonts w:hint="eastAsia" w:ascii="仿宋_GB2312"/>
                <w:sz w:val="24"/>
                <w:szCs w:val="24"/>
              </w:rPr>
              <w:t>在综合改革及各类规划中</w:t>
            </w:r>
            <w:r>
              <w:rPr>
                <w:rFonts w:hint="eastAsia" w:ascii="仿宋_GB2312" w:hAnsi="Times New Roman"/>
                <w:sz w:val="24"/>
                <w:szCs w:val="24"/>
              </w:rPr>
              <w:t>统筹成果转化与人才培养、科学研究、学科建设，充分结合实际，集聚各方资源，</w:t>
            </w:r>
            <w:r>
              <w:rPr>
                <w:rFonts w:hint="eastAsia" w:ascii="仿宋_GB2312"/>
                <w:sz w:val="24"/>
                <w:szCs w:val="24"/>
              </w:rPr>
              <w:t>科学合理推进成果转化工作；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2．积极落实国家和地方成果转化各项政策，成果转化氛围好。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3.以地方为基本依托单位的基地，还应在与高校协同创新推动成果转化方面有政策、有机制、有探索。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运行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1. 建立了成果转化清晰明了、可操作性强的落地政策和实施细则，包括职务科技成果产权管理机制、风险防控机制、成果评估评价机制等；</w:t>
            </w:r>
          </w:p>
          <w:p>
            <w:pPr>
              <w:widowControl/>
              <w:snapToGrid w:val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2. 建立了专门负责成果转化和技术转移的部门或机构，成果转化市场运营体系较为完善。</w:t>
            </w:r>
          </w:p>
          <w:p>
            <w:pPr>
              <w:widowControl/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3.以地方为基本依托单位的基地，还应拥有一批较高水平的转化服务机构和技术转移专业化人才队伍，与高校有紧密的合作关系。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转化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能力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1. 科技创新能力强，科研资源集聚，拥有国家级科研平台，具备较强能力承担为国家战略和区域经济发展服务的各类科研任务；</w:t>
            </w:r>
          </w:p>
          <w:p>
            <w:pPr>
              <w:widowControl/>
              <w:snapToGrid w:val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2.成果转化需求强烈，已拥有一批能实现科技成果转化和技术转移的各类平台；</w:t>
            </w:r>
          </w:p>
          <w:p>
            <w:pPr>
              <w:widowControl/>
              <w:snapToGrid w:val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3. 与地方、行业有深入的协同创新并取得积极效果，近三年技术合同成交额高，</w:t>
            </w:r>
            <w:r>
              <w:rPr>
                <w:rFonts w:hint="eastAsia" w:ascii="仿宋_GB2312"/>
                <w:sz w:val="24"/>
                <w:szCs w:val="24"/>
              </w:rPr>
              <w:t>形成了一批具有高校特色的成功案例。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特色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示范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"/>
              <w:contextualSpacing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1.成果转化特色鲜明，转化协同成效显著，相关工作在国内或省域范围内示范辐射引领作用明显，具有较强影响力；</w:t>
            </w:r>
          </w:p>
          <w:p>
            <w:pPr>
              <w:widowControl/>
              <w:snapToGrid w:val="0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hAnsi="Times New Roman"/>
                <w:sz w:val="24"/>
                <w:szCs w:val="24"/>
              </w:rPr>
              <w:t>结合地方发展战略、资源禀赋、产业特色、区位优势，先行先试创新配套优惠政策，成功探索并提出了个性化特色发展任务与目标。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52E7"/>
    <w:rsid w:val="06F652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2018-06-12T07:24:00Z</dcterms:created>
  <dc:creator>jytmh</dc:creator>
  <cp:lastModifiedBy>jytmh</cp:lastModifiedBy>
  <dcterms:modified xsi:type="dcterms:W3CDTF">2018-06-12T07:24:35Z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